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int="eastAsia"/>
          <w:b/>
          <w:bCs/>
          <w:color w:val="auto"/>
          <w:sz w:val="36"/>
          <w:szCs w:val="36"/>
          <w:lang w:val="en-US" w:eastAsia="zh-CN"/>
        </w:rPr>
      </w:pPr>
      <w:r>
        <w:rPr>
          <w:rFonts w:hint="eastAsia"/>
          <w:b/>
          <w:bCs/>
          <w:color w:val="auto"/>
          <w:sz w:val="36"/>
          <w:szCs w:val="36"/>
          <w:lang w:val="en-US" w:eastAsia="zh-CN"/>
        </w:rPr>
        <w:t>附件：</w:t>
      </w:r>
    </w:p>
    <w:p>
      <w:pPr>
        <w:pStyle w:val="4"/>
        <w:jc w:val="center"/>
        <w:rPr>
          <w:b/>
          <w:bCs/>
          <w:color w:val="auto"/>
          <w:sz w:val="32"/>
          <w:szCs w:val="32"/>
        </w:rPr>
      </w:pPr>
      <w:r>
        <w:rPr>
          <w:rFonts w:hint="eastAsia"/>
          <w:b/>
          <w:bCs/>
          <w:color w:val="auto"/>
          <w:sz w:val="32"/>
          <w:szCs w:val="32"/>
        </w:rPr>
        <w:t>物理与电子技术</w:t>
      </w:r>
      <w:r>
        <w:rPr>
          <w:b/>
          <w:bCs/>
          <w:color w:val="auto"/>
          <w:sz w:val="32"/>
          <w:szCs w:val="32"/>
        </w:rPr>
        <w:t>学院推荐优秀应届本科毕业生</w:t>
      </w:r>
    </w:p>
    <w:p>
      <w:pPr>
        <w:pStyle w:val="4"/>
        <w:jc w:val="center"/>
        <w:rPr>
          <w:rFonts w:hint="eastAsia" w:eastAsia="宋体"/>
          <w:b/>
          <w:bCs/>
          <w:color w:val="auto"/>
          <w:sz w:val="32"/>
          <w:szCs w:val="32"/>
          <w:lang w:eastAsia="zh-CN"/>
        </w:rPr>
      </w:pPr>
      <w:r>
        <w:rPr>
          <w:b/>
          <w:bCs/>
          <w:color w:val="auto"/>
          <w:sz w:val="32"/>
          <w:szCs w:val="32"/>
        </w:rPr>
        <w:t>免试攻读</w:t>
      </w:r>
      <w:r>
        <w:rPr>
          <w:rFonts w:hint="eastAsia"/>
          <w:b/>
          <w:bCs/>
          <w:color w:val="auto"/>
          <w:sz w:val="32"/>
          <w:szCs w:val="32"/>
          <w:lang w:eastAsia="zh-CN"/>
        </w:rPr>
        <w:t>硕士</w:t>
      </w:r>
      <w:r>
        <w:rPr>
          <w:b/>
          <w:bCs/>
          <w:color w:val="auto"/>
          <w:sz w:val="32"/>
          <w:szCs w:val="32"/>
        </w:rPr>
        <w:t>研究生</w:t>
      </w:r>
      <w:r>
        <w:rPr>
          <w:rFonts w:hint="eastAsia"/>
          <w:b/>
          <w:bCs/>
          <w:color w:val="auto"/>
          <w:sz w:val="32"/>
          <w:szCs w:val="32"/>
          <w:lang w:eastAsia="zh-CN"/>
        </w:rPr>
        <w:t>考核成绩的计算办法</w:t>
      </w:r>
    </w:p>
    <w:p>
      <w:pPr>
        <w:rPr>
          <w:color w:val="auto"/>
        </w:rPr>
      </w:pPr>
    </w:p>
    <w:p>
      <w:pPr>
        <w:pStyle w:val="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cs="Times New Roman"/>
          <w:color w:val="auto"/>
          <w:kern w:val="2"/>
          <w:sz w:val="24"/>
          <w:szCs w:val="24"/>
          <w:lang w:val="en-US" w:eastAsia="zh-CN" w:bidi="ar-SA"/>
        </w:rPr>
      </w:pPr>
      <w:r>
        <w:rPr>
          <w:rFonts w:hint="eastAsia" w:ascii="宋体" w:hAnsi="Times New Roman" w:cs="Times New Roman"/>
          <w:color w:val="auto"/>
          <w:kern w:val="2"/>
          <w:sz w:val="24"/>
          <w:szCs w:val="24"/>
          <w:lang w:val="en-US" w:eastAsia="zh-CN" w:bidi="ar-SA"/>
        </w:rPr>
        <w:t>根据《辽宁师范大学推荐免试硕士研究生实施办法》（辽师大校发〔2023〕38号）、《物理与电子技术学院推荐优秀应届本科毕业生免试攻读研究生实施细则》（2023年8月）制定本办法。</w:t>
      </w:r>
    </w:p>
    <w:p>
      <w:pPr>
        <w:spacing w:line="360" w:lineRule="auto"/>
        <w:rPr>
          <w:rFonts w:hint="eastAsia" w:ascii="宋体"/>
          <w:b/>
          <w:color w:val="auto"/>
          <w:sz w:val="28"/>
          <w:szCs w:val="28"/>
        </w:rPr>
      </w:pPr>
      <w:r>
        <w:rPr>
          <w:rFonts w:hint="eastAsia" w:ascii="宋体"/>
          <w:b/>
          <w:color w:val="auto"/>
          <w:sz w:val="28"/>
          <w:szCs w:val="28"/>
        </w:rPr>
        <w:t>一、思想品德鉴定</w:t>
      </w:r>
    </w:p>
    <w:p>
      <w:pPr>
        <w:spacing w:line="360" w:lineRule="auto"/>
        <w:ind w:firstLine="480" w:firstLineChars="200"/>
        <w:rPr>
          <w:rFonts w:hint="eastAsia" w:ascii="宋体"/>
          <w:color w:val="auto"/>
          <w:sz w:val="24"/>
        </w:rPr>
      </w:pPr>
      <w:r>
        <w:rPr>
          <w:rFonts w:hint="eastAsia" w:ascii="宋体"/>
          <w:color w:val="auto"/>
          <w:sz w:val="24"/>
        </w:rPr>
        <w:t>综合考核应落实立德树人根本任务，坚持德智体美劳全面衡量，以德为先，把学生思想品德考核作为推免生遴选的首要依据，要严格遵循实事求是的原则，注重对学生政治态度、思想表现、道德品质、科学精神、诚实守信、遵纪守法等方面的考察，并对参与综合考核的学生出具《推免生政治审查情况报告》，思想品德考核不合格者不予推荐。</w:t>
      </w:r>
    </w:p>
    <w:p>
      <w:pPr>
        <w:spacing w:line="360" w:lineRule="auto"/>
        <w:rPr>
          <w:rFonts w:hint="eastAsia" w:ascii="宋体"/>
          <w:b/>
          <w:color w:val="auto"/>
          <w:sz w:val="28"/>
          <w:szCs w:val="28"/>
        </w:rPr>
      </w:pPr>
      <w:r>
        <w:rPr>
          <w:rFonts w:hint="eastAsia" w:ascii="宋体"/>
          <w:b/>
          <w:color w:val="auto"/>
          <w:sz w:val="28"/>
          <w:szCs w:val="28"/>
        </w:rPr>
        <w:t>二、德育成绩</w:t>
      </w:r>
    </w:p>
    <w:p>
      <w:pPr>
        <w:spacing w:line="360" w:lineRule="auto"/>
        <w:ind w:firstLine="465"/>
        <w:rPr>
          <w:rFonts w:ascii="宋体"/>
          <w:color w:val="auto"/>
          <w:sz w:val="24"/>
        </w:rPr>
      </w:pPr>
      <w:r>
        <w:rPr>
          <w:rFonts w:hint="eastAsia" w:ascii="宋体"/>
          <w:color w:val="auto"/>
          <w:sz w:val="24"/>
        </w:rPr>
        <w:t>德育成绩占推免成绩的5%，即5分。</w:t>
      </w:r>
    </w:p>
    <w:p>
      <w:pPr>
        <w:spacing w:line="360" w:lineRule="auto"/>
        <w:ind w:firstLine="465"/>
        <w:rPr>
          <w:rFonts w:ascii="宋体"/>
          <w:color w:val="auto"/>
          <w:sz w:val="24"/>
        </w:rPr>
      </w:pPr>
      <w:r>
        <w:rPr>
          <w:rFonts w:hint="eastAsia" w:ascii="宋体"/>
          <w:color w:val="auto"/>
          <w:sz w:val="24"/>
        </w:rPr>
        <w:t>依据《辽宁师范大学毕业生德智体综合测评方法》（2</w:t>
      </w:r>
      <w:r>
        <w:rPr>
          <w:rFonts w:ascii="宋体"/>
          <w:color w:val="auto"/>
          <w:sz w:val="24"/>
        </w:rPr>
        <w:t>020</w:t>
      </w:r>
      <w:r>
        <w:rPr>
          <w:rFonts w:hint="eastAsia" w:ascii="宋体"/>
          <w:color w:val="auto"/>
          <w:sz w:val="24"/>
        </w:rPr>
        <w:t>年9月修订）、《物理与电子技术学院本科生奖励之德育测评办法》计算成绩。对德育方面的规定，首先按百分制打分。其中学校基础分60分，学院补充加分控制在15分以内，超过15分按15分计，学校加分与学院补充加分得分总和不得超过100分，超过100分按100分计。得分总和乘以5%即为推免的德育成绩。</w:t>
      </w:r>
    </w:p>
    <w:p>
      <w:pPr>
        <w:spacing w:line="360" w:lineRule="auto"/>
        <w:ind w:firstLine="465"/>
        <w:rPr>
          <w:rFonts w:hint="eastAsia" w:ascii="宋体"/>
          <w:color w:val="auto"/>
          <w:sz w:val="24"/>
        </w:rPr>
      </w:pPr>
    </w:p>
    <w:p>
      <w:pPr>
        <w:spacing w:line="360" w:lineRule="auto"/>
        <w:rPr>
          <w:rFonts w:hint="eastAsia" w:ascii="宋体"/>
          <w:b/>
          <w:color w:val="auto"/>
          <w:sz w:val="28"/>
          <w:szCs w:val="28"/>
        </w:rPr>
      </w:pPr>
      <w:r>
        <w:rPr>
          <w:rFonts w:hint="eastAsia" w:ascii="宋体"/>
          <w:b/>
          <w:color w:val="auto"/>
          <w:sz w:val="28"/>
          <w:szCs w:val="28"/>
          <w:lang w:eastAsia="zh-CN"/>
        </w:rPr>
        <w:t>三</w:t>
      </w:r>
      <w:r>
        <w:rPr>
          <w:rFonts w:hint="eastAsia" w:ascii="宋体"/>
          <w:b/>
          <w:color w:val="auto"/>
          <w:sz w:val="28"/>
          <w:szCs w:val="28"/>
        </w:rPr>
        <w:t>、科研创新成绩</w:t>
      </w:r>
    </w:p>
    <w:p>
      <w:pPr>
        <w:spacing w:line="360" w:lineRule="auto"/>
        <w:ind w:firstLine="480" w:firstLineChars="200"/>
        <w:rPr>
          <w:rFonts w:hint="eastAsia" w:ascii="宋体" w:hAnsi="宋体"/>
          <w:color w:val="auto"/>
          <w:sz w:val="24"/>
        </w:rPr>
      </w:pPr>
      <w:r>
        <w:rPr>
          <w:rFonts w:hint="eastAsia" w:ascii="宋体" w:hAnsi="宋体" w:cs="宋体"/>
          <w:color w:val="auto"/>
          <w:kern w:val="0"/>
          <w:sz w:val="24"/>
        </w:rPr>
        <w:t>科研创新成绩占推免总成绩的</w:t>
      </w:r>
      <w:r>
        <w:rPr>
          <w:rFonts w:hint="eastAsia" w:ascii="宋体" w:hAnsi="宋体"/>
          <w:color w:val="auto"/>
          <w:sz w:val="24"/>
        </w:rPr>
        <w:t>10%，即10分。其中基础分为</w:t>
      </w:r>
      <w:r>
        <w:rPr>
          <w:rFonts w:hint="eastAsia" w:ascii="宋体" w:hAnsi="宋体"/>
          <w:color w:val="auto"/>
          <w:sz w:val="24"/>
          <w:lang w:val="en-US" w:eastAsia="zh-CN"/>
        </w:rPr>
        <w:t>2</w:t>
      </w:r>
      <w:r>
        <w:rPr>
          <w:rFonts w:hint="eastAsia" w:ascii="宋体" w:hAnsi="宋体"/>
          <w:color w:val="auto"/>
          <w:sz w:val="24"/>
        </w:rPr>
        <w:t>分，成果分为</w:t>
      </w:r>
      <w:r>
        <w:rPr>
          <w:rFonts w:hint="eastAsia" w:ascii="宋体" w:hAnsi="宋体"/>
          <w:color w:val="auto"/>
          <w:sz w:val="24"/>
          <w:lang w:val="en-US" w:eastAsia="zh-CN"/>
        </w:rPr>
        <w:t>8</w:t>
      </w:r>
      <w:r>
        <w:rPr>
          <w:rFonts w:hint="eastAsia" w:ascii="宋体" w:hAnsi="宋体"/>
          <w:color w:val="auto"/>
          <w:sz w:val="24"/>
        </w:rPr>
        <w:t>分。</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eastAsia="zh-CN"/>
        </w:rPr>
        <w:t>（一）</w:t>
      </w:r>
      <w:r>
        <w:rPr>
          <w:rFonts w:hint="eastAsia" w:ascii="宋体" w:hAnsi="宋体" w:cs="宋体"/>
          <w:color w:val="auto"/>
          <w:kern w:val="0"/>
          <w:sz w:val="24"/>
        </w:rPr>
        <w:t>科研创新成果第一署名单位须为辽宁师范大学。</w:t>
      </w:r>
    </w:p>
    <w:p>
      <w:pPr>
        <w:spacing w:line="360" w:lineRule="auto"/>
        <w:ind w:firstLine="480" w:firstLineChars="200"/>
        <w:rPr>
          <w:rFonts w:hint="eastAsia" w:ascii="宋体" w:hAnsi="宋体"/>
          <w:color w:val="auto"/>
          <w:sz w:val="24"/>
        </w:rPr>
      </w:pPr>
      <w:r>
        <w:rPr>
          <w:rFonts w:hint="eastAsia" w:ascii="宋体" w:hAnsi="宋体"/>
          <w:color w:val="auto"/>
          <w:sz w:val="24"/>
          <w:lang w:eastAsia="zh-CN"/>
        </w:rPr>
        <w:t>（二）</w:t>
      </w:r>
      <w:r>
        <w:rPr>
          <w:rFonts w:hint="eastAsia" w:ascii="宋体" w:hAnsi="宋体"/>
          <w:color w:val="auto"/>
          <w:sz w:val="24"/>
        </w:rPr>
        <w:t>科研成果必须为物理学、物理教育方面的成果，或与此具有较强相关性的成果。</w:t>
      </w:r>
    </w:p>
    <w:p>
      <w:pPr>
        <w:spacing w:line="360" w:lineRule="auto"/>
        <w:ind w:firstLine="480" w:firstLineChars="200"/>
        <w:rPr>
          <w:rFonts w:hint="eastAsia" w:ascii="宋体" w:hAnsi="宋体"/>
          <w:color w:val="auto"/>
          <w:sz w:val="24"/>
        </w:rPr>
      </w:pPr>
      <w:r>
        <w:rPr>
          <w:rFonts w:hint="eastAsia" w:ascii="宋体" w:hAnsi="宋体"/>
          <w:color w:val="auto"/>
          <w:sz w:val="24"/>
          <w:lang w:eastAsia="zh-CN"/>
        </w:rPr>
        <w:t>（三）</w:t>
      </w:r>
      <w:r>
        <w:rPr>
          <w:rFonts w:hint="eastAsia" w:ascii="宋体" w:hAnsi="宋体"/>
          <w:color w:val="auto"/>
          <w:sz w:val="24"/>
        </w:rPr>
        <w:t>同一成果以最高得分计算一次，不重复计。同一成果不得拆分计算。</w:t>
      </w:r>
    </w:p>
    <w:p>
      <w:pPr>
        <w:spacing w:line="360" w:lineRule="auto"/>
        <w:ind w:firstLine="480" w:firstLineChars="200"/>
        <w:rPr>
          <w:rFonts w:hint="eastAsia" w:ascii="宋体" w:hAnsi="宋体"/>
          <w:color w:val="auto"/>
          <w:sz w:val="24"/>
        </w:rPr>
      </w:pPr>
      <w:r>
        <w:rPr>
          <w:rFonts w:hint="eastAsia" w:ascii="宋体" w:hAnsi="宋体"/>
          <w:color w:val="auto"/>
          <w:sz w:val="24"/>
          <w:lang w:eastAsia="zh-CN"/>
        </w:rPr>
        <w:t>（四）</w:t>
      </w:r>
      <w:r>
        <w:rPr>
          <w:rFonts w:hint="eastAsia" w:ascii="宋体" w:hAnsi="宋体"/>
          <w:color w:val="auto"/>
          <w:sz w:val="24"/>
        </w:rPr>
        <w:t>关于项目、获奖级别的说明：</w:t>
      </w:r>
    </w:p>
    <w:p>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原则上：</w:t>
      </w:r>
      <w:r>
        <w:rPr>
          <w:rFonts w:hint="eastAsia" w:ascii="宋体" w:hAnsi="宋体"/>
          <w:color w:val="auto"/>
          <w:sz w:val="24"/>
        </w:rPr>
        <w:t>国家级成果指政府、科技部、教育部级别的成果；省级成果指省政府、省科技厅、省教育厅、国家级学会、国家级协会级别的成果；市级成果指市政府、市科技局、市教育局、省级学会、省级协会级别的成果；校级成果指校级奖项、市级学会、市级协会级别的成果。</w:t>
      </w:r>
    </w:p>
    <w:p>
      <w:pPr>
        <w:numPr>
          <w:ilvl w:val="0"/>
          <w:numId w:val="0"/>
        </w:numPr>
        <w:autoSpaceDE w:val="0"/>
        <w:autoSpaceDN w:val="0"/>
        <w:adjustRightIn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eastAsia="zh-CN"/>
        </w:rPr>
        <w:t>（五）</w:t>
      </w:r>
      <w:r>
        <w:rPr>
          <w:rFonts w:hint="eastAsia" w:ascii="宋体" w:hAnsi="宋体" w:cs="宋体"/>
          <w:color w:val="auto"/>
          <w:kern w:val="0"/>
          <w:sz w:val="24"/>
        </w:rPr>
        <w:t>多人共同成果项目</w:t>
      </w:r>
      <w:r>
        <w:rPr>
          <w:rFonts w:hint="eastAsia" w:ascii="宋体" w:hAnsi="宋体" w:cs="宋体"/>
          <w:color w:val="auto"/>
          <w:kern w:val="0"/>
          <w:sz w:val="24"/>
          <w:lang w:eastAsia="zh-CN"/>
        </w:rPr>
        <w:t>按如下规则计算成绩：</w:t>
      </w:r>
    </w:p>
    <w:p>
      <w:pPr>
        <w:numPr>
          <w:ilvl w:val="0"/>
          <w:numId w:val="0"/>
        </w:numPr>
        <w:autoSpaceDE w:val="0"/>
        <w:autoSpaceDN w:val="0"/>
        <w:adjustRightIn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排名分先后时，</w:t>
      </w:r>
      <w:r>
        <w:rPr>
          <w:rFonts w:hint="eastAsia" w:ascii="宋体" w:hAnsi="宋体" w:cs="宋体"/>
          <w:color w:val="auto"/>
          <w:kern w:val="0"/>
          <w:sz w:val="24"/>
        </w:rPr>
        <w:t>分值分配按如下办法执行：两人按6 : 4 比例计算成绩， 三人按5 : 3 : 2 比例计算成绩， 四人按4： 3： 2： 1比例计算成绩，五人按4： 3： 1： 1： 1比例计算成绩。</w:t>
      </w:r>
    </w:p>
    <w:p>
      <w:pPr>
        <w:numPr>
          <w:ilvl w:val="0"/>
          <w:numId w:val="0"/>
        </w:numPr>
        <w:autoSpaceDE w:val="0"/>
        <w:autoSpaceDN w:val="0"/>
        <w:adjustRightInd w:val="0"/>
        <w:spacing w:line="360" w:lineRule="auto"/>
        <w:ind w:left="479" w:leftChars="228" w:firstLine="0" w:firstLineChars="0"/>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w:t>
      </w:r>
      <w:r>
        <w:rPr>
          <w:rFonts w:hint="eastAsia" w:ascii="宋体" w:hAnsi="宋体" w:cs="宋体"/>
          <w:color w:val="auto"/>
          <w:kern w:val="0"/>
          <w:sz w:val="24"/>
          <w:lang w:eastAsia="zh-CN"/>
        </w:rPr>
        <w:t>排名不分先后时，每人成绩按平均计算；当人数超过</w:t>
      </w:r>
      <w:r>
        <w:rPr>
          <w:rFonts w:hint="eastAsia" w:ascii="宋体" w:hAnsi="宋体" w:cs="宋体"/>
          <w:color w:val="auto"/>
          <w:kern w:val="0"/>
          <w:sz w:val="24"/>
          <w:lang w:val="en-US" w:eastAsia="zh-CN"/>
        </w:rPr>
        <w:t>5人时，按5人取平</w:t>
      </w:r>
    </w:p>
    <w:p>
      <w:pPr>
        <w:numPr>
          <w:ilvl w:val="0"/>
          <w:numId w:val="0"/>
        </w:numPr>
        <w:autoSpaceDE w:val="0"/>
        <w:autoSpaceDN w:val="0"/>
        <w:adjustRightInd w:val="0"/>
        <w:spacing w:line="360" w:lineRule="auto"/>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均。</w:t>
      </w:r>
    </w:p>
    <w:p>
      <w:pPr>
        <w:numPr>
          <w:ilvl w:val="0"/>
          <w:numId w:val="0"/>
        </w:numPr>
        <w:autoSpaceDE w:val="0"/>
        <w:autoSpaceDN w:val="0"/>
        <w:adjustRightIn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lang w:eastAsia="zh-CN"/>
        </w:rPr>
        <w:t>分为主持人和参与人的情况，主持人成绩按第（五）条第</w:t>
      </w:r>
      <w:r>
        <w:rPr>
          <w:rFonts w:hint="eastAsia" w:ascii="宋体" w:hAnsi="宋体" w:cs="宋体"/>
          <w:color w:val="auto"/>
          <w:kern w:val="0"/>
          <w:sz w:val="24"/>
          <w:lang w:val="en-US" w:eastAsia="zh-CN"/>
        </w:rPr>
        <w:t>1款</w:t>
      </w:r>
      <w:r>
        <w:rPr>
          <w:rFonts w:hint="eastAsia" w:ascii="宋体" w:hAnsi="宋体" w:cs="宋体"/>
          <w:color w:val="auto"/>
          <w:kern w:val="0"/>
          <w:sz w:val="24"/>
          <w:lang w:eastAsia="zh-CN"/>
        </w:rPr>
        <w:t>中排名第一人的占比计算；参与人若不分主次或无法进行主次区分，其成绩依据第（五）条第</w:t>
      </w:r>
      <w:r>
        <w:rPr>
          <w:rFonts w:hint="eastAsia" w:ascii="宋体" w:hAnsi="宋体" w:cs="宋体"/>
          <w:color w:val="auto"/>
          <w:kern w:val="0"/>
          <w:sz w:val="24"/>
          <w:lang w:val="en-US" w:eastAsia="zh-CN"/>
        </w:rPr>
        <w:t>1款</w:t>
      </w:r>
      <w:r>
        <w:rPr>
          <w:rFonts w:hint="eastAsia" w:ascii="宋体" w:hAnsi="宋体" w:cs="宋体"/>
          <w:color w:val="auto"/>
          <w:kern w:val="0"/>
          <w:sz w:val="24"/>
          <w:lang w:eastAsia="zh-CN"/>
        </w:rPr>
        <w:t>的比例规定，取平均计算，当参与人数超过</w:t>
      </w:r>
      <w:r>
        <w:rPr>
          <w:rFonts w:hint="eastAsia" w:ascii="宋体" w:hAnsi="宋体" w:cs="宋体"/>
          <w:color w:val="auto"/>
          <w:kern w:val="0"/>
          <w:sz w:val="24"/>
          <w:lang w:val="en-US" w:eastAsia="zh-CN"/>
        </w:rPr>
        <w:t>5人时，按5人取平均。</w:t>
      </w:r>
    </w:p>
    <w:p>
      <w:pPr>
        <w:spacing w:line="360" w:lineRule="auto"/>
        <w:ind w:firstLine="480" w:firstLineChars="200"/>
        <w:rPr>
          <w:rFonts w:hint="eastAsia" w:ascii="宋体" w:hAnsi="宋体"/>
          <w:color w:val="auto"/>
          <w:sz w:val="24"/>
        </w:rPr>
      </w:pPr>
      <w:r>
        <w:rPr>
          <w:rFonts w:hint="eastAsia" w:ascii="宋体" w:hAnsi="宋体" w:cs="宋体"/>
          <w:color w:val="auto"/>
          <w:kern w:val="0"/>
          <w:sz w:val="24"/>
          <w:lang w:eastAsia="zh-CN"/>
        </w:rPr>
        <w:t>（六）</w:t>
      </w:r>
      <w:r>
        <w:rPr>
          <w:rFonts w:hint="eastAsia" w:ascii="宋体" w:hAnsi="宋体" w:cs="宋体"/>
          <w:color w:val="auto"/>
          <w:kern w:val="0"/>
          <w:sz w:val="24"/>
        </w:rPr>
        <w:t>按第</w:t>
      </w:r>
      <w:r>
        <w:rPr>
          <w:rFonts w:hint="eastAsia" w:ascii="宋体" w:hAnsi="宋体" w:cs="宋体"/>
          <w:color w:val="auto"/>
          <w:kern w:val="0"/>
          <w:sz w:val="24"/>
          <w:lang w:eastAsia="zh-CN"/>
        </w:rPr>
        <w:t>（七）</w:t>
      </w:r>
      <w:r>
        <w:rPr>
          <w:rFonts w:hint="eastAsia" w:ascii="宋体" w:hAnsi="宋体" w:cs="宋体"/>
          <w:color w:val="auto"/>
          <w:kern w:val="0"/>
          <w:sz w:val="24"/>
        </w:rPr>
        <w:t>条</w:t>
      </w:r>
      <w:r>
        <w:rPr>
          <w:rFonts w:hint="eastAsia" w:ascii="宋体" w:hAnsi="宋体" w:cs="宋体"/>
          <w:color w:val="auto"/>
          <w:kern w:val="0"/>
          <w:sz w:val="24"/>
          <w:lang w:eastAsia="zh-CN"/>
        </w:rPr>
        <w:t>、第（五）条的</w:t>
      </w:r>
      <w:r>
        <w:rPr>
          <w:rFonts w:hint="eastAsia" w:ascii="宋体" w:hAnsi="宋体" w:cs="宋体"/>
          <w:color w:val="auto"/>
          <w:kern w:val="0"/>
          <w:sz w:val="24"/>
        </w:rPr>
        <w:t>规定</w:t>
      </w:r>
      <w:r>
        <w:rPr>
          <w:rFonts w:hint="eastAsia" w:ascii="宋体" w:hAnsi="宋体" w:cs="宋体"/>
          <w:color w:val="auto"/>
          <w:kern w:val="0"/>
          <w:sz w:val="24"/>
          <w:lang w:eastAsia="zh-CN"/>
        </w:rPr>
        <w:t>计算的分数求和后，</w:t>
      </w:r>
      <w:r>
        <w:rPr>
          <w:rFonts w:hint="eastAsia" w:ascii="宋体" w:hAnsi="宋体"/>
          <w:color w:val="auto"/>
          <w:sz w:val="24"/>
        </w:rPr>
        <w:t>乘以</w:t>
      </w:r>
      <w:r>
        <w:rPr>
          <w:rFonts w:hint="eastAsia" w:ascii="宋体" w:hAnsi="宋体"/>
          <w:b w:val="0"/>
          <w:bCs w:val="0"/>
          <w:color w:val="auto"/>
          <w:sz w:val="24"/>
        </w:rPr>
        <w:t>0.0</w:t>
      </w:r>
      <w:r>
        <w:rPr>
          <w:rFonts w:hint="eastAsia" w:ascii="宋体" w:hAnsi="宋体"/>
          <w:b w:val="0"/>
          <w:bCs w:val="0"/>
          <w:color w:val="auto"/>
          <w:sz w:val="24"/>
          <w:lang w:val="en-US" w:eastAsia="zh-CN"/>
        </w:rPr>
        <w:t>1</w:t>
      </w:r>
      <w:r>
        <w:rPr>
          <w:rFonts w:hint="eastAsia" w:ascii="宋体" w:hAnsi="宋体"/>
          <w:color w:val="auto"/>
          <w:sz w:val="24"/>
        </w:rPr>
        <w:t>即为</w:t>
      </w:r>
      <w:r>
        <w:rPr>
          <w:rFonts w:hint="eastAsia" w:ascii="宋体" w:hAnsi="宋体"/>
          <w:color w:val="auto"/>
          <w:sz w:val="24"/>
          <w:lang w:eastAsia="zh-CN"/>
        </w:rPr>
        <w:t>成果分</w:t>
      </w:r>
      <w:r>
        <w:rPr>
          <w:rFonts w:hint="eastAsia" w:ascii="宋体" w:hAnsi="宋体"/>
          <w:color w:val="auto"/>
          <w:sz w:val="24"/>
        </w:rPr>
        <w:t>。</w:t>
      </w:r>
      <w:r>
        <w:rPr>
          <w:rFonts w:hint="eastAsia" w:ascii="宋体" w:hAnsi="宋体"/>
          <w:color w:val="auto"/>
          <w:sz w:val="24"/>
          <w:lang w:eastAsia="zh-CN"/>
        </w:rPr>
        <w:t>成果分</w:t>
      </w:r>
      <w:r>
        <w:rPr>
          <w:rFonts w:hint="eastAsia" w:ascii="宋体" w:hAnsi="宋体"/>
          <w:color w:val="auto"/>
          <w:sz w:val="24"/>
        </w:rPr>
        <w:t>超过</w:t>
      </w:r>
      <w:r>
        <w:rPr>
          <w:rFonts w:hint="eastAsia" w:ascii="宋体" w:hAnsi="宋体"/>
          <w:color w:val="auto"/>
          <w:sz w:val="24"/>
          <w:lang w:val="en-US" w:eastAsia="zh-CN"/>
        </w:rPr>
        <w:t>8</w:t>
      </w:r>
      <w:r>
        <w:rPr>
          <w:rFonts w:hint="eastAsia" w:ascii="宋体" w:hAnsi="宋体"/>
          <w:color w:val="auto"/>
          <w:sz w:val="24"/>
        </w:rPr>
        <w:t>分</w:t>
      </w:r>
      <w:r>
        <w:rPr>
          <w:rFonts w:hint="eastAsia" w:ascii="宋体" w:hAnsi="宋体"/>
          <w:color w:val="auto"/>
          <w:sz w:val="24"/>
          <w:lang w:eastAsia="zh-CN"/>
        </w:rPr>
        <w:t>的</w:t>
      </w:r>
      <w:r>
        <w:rPr>
          <w:rFonts w:hint="eastAsia" w:ascii="宋体" w:hAnsi="宋体"/>
          <w:color w:val="auto"/>
          <w:sz w:val="24"/>
        </w:rPr>
        <w:t>按</w:t>
      </w:r>
      <w:r>
        <w:rPr>
          <w:rFonts w:hint="eastAsia" w:ascii="宋体" w:hAnsi="宋体"/>
          <w:color w:val="auto"/>
          <w:sz w:val="24"/>
          <w:lang w:val="en-US" w:eastAsia="zh-CN"/>
        </w:rPr>
        <w:t>8</w:t>
      </w:r>
      <w:r>
        <w:rPr>
          <w:rFonts w:hint="eastAsia" w:ascii="宋体" w:hAnsi="宋体"/>
          <w:color w:val="auto"/>
          <w:sz w:val="24"/>
        </w:rPr>
        <w:t>分计算。</w:t>
      </w:r>
    </w:p>
    <w:p>
      <w:pPr>
        <w:spacing w:line="360" w:lineRule="auto"/>
        <w:ind w:firstLine="480" w:firstLineChars="200"/>
        <w:rPr>
          <w:rFonts w:hint="eastAsia" w:ascii="宋体" w:hAnsi="宋体"/>
          <w:color w:val="auto"/>
          <w:sz w:val="24"/>
        </w:rPr>
      </w:pPr>
      <w:r>
        <w:rPr>
          <w:rFonts w:hint="eastAsia" w:ascii="宋体" w:hAnsi="宋体" w:cs="宋体"/>
          <w:color w:val="auto"/>
          <w:kern w:val="0"/>
          <w:sz w:val="24"/>
          <w:lang w:eastAsia="zh-CN"/>
        </w:rPr>
        <w:t>（七）</w:t>
      </w:r>
      <w:r>
        <w:rPr>
          <w:rFonts w:hint="eastAsia" w:ascii="宋体" w:hAnsi="宋体" w:cs="宋体"/>
          <w:color w:val="auto"/>
          <w:kern w:val="0"/>
          <w:sz w:val="24"/>
        </w:rPr>
        <w:t>各项成果分值的计算方案如下：</w:t>
      </w:r>
    </w:p>
    <w:p>
      <w:pPr>
        <w:spacing w:line="360" w:lineRule="auto"/>
        <w:ind w:firstLine="480" w:firstLineChars="200"/>
        <w:rPr>
          <w:rFonts w:hint="eastAsia" w:ascii="宋体" w:hAnsi="宋体"/>
          <w:color w:val="auto"/>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大学生创新创业训练计划项目</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936"/>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项目情况</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国家级</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省级</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项目结题</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100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80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项目立项</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80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60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20</w:t>
            </w:r>
          </w:p>
        </w:tc>
      </w:tr>
    </w:tbl>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结题的教师指导本科生科研训练项目、实验室开放项目、本科生自主科研</w:t>
      </w:r>
      <w:r>
        <w:rPr>
          <w:rFonts w:hint="eastAsia" w:ascii="宋体" w:hAnsi="宋体" w:cs="宋体"/>
          <w:color w:val="auto"/>
          <w:kern w:val="0"/>
          <w:sz w:val="24"/>
          <w:lang w:eastAsia="zh-CN"/>
        </w:rPr>
        <w:t>项目</w:t>
      </w:r>
      <w:r>
        <w:rPr>
          <w:rFonts w:hint="eastAsia" w:ascii="宋体" w:hAnsi="宋体" w:cs="宋体"/>
          <w:color w:val="auto"/>
          <w:kern w:val="0"/>
          <w:sz w:val="24"/>
        </w:rPr>
        <w:t>每项记40分。</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学术论文</w:t>
      </w:r>
    </w:p>
    <w:p>
      <w:pPr>
        <w:spacing w:line="360" w:lineRule="auto"/>
        <w:ind w:firstLine="480" w:firstLineChars="200"/>
        <w:rPr>
          <w:rFonts w:hint="eastAsia" w:ascii="宋体" w:hAnsi="宋体"/>
          <w:color w:val="auto"/>
          <w:sz w:val="24"/>
        </w:rPr>
      </w:pPr>
      <w:r>
        <w:rPr>
          <w:rFonts w:hint="eastAsia" w:ascii="宋体" w:hAnsi="宋体"/>
          <w:color w:val="auto"/>
          <w:sz w:val="24"/>
        </w:rPr>
        <w:t>要求学术论文在正规期刊发表</w:t>
      </w:r>
      <w:r>
        <w:rPr>
          <w:rFonts w:hint="eastAsia" w:ascii="宋体" w:hAnsi="宋体"/>
          <w:color w:val="auto"/>
          <w:sz w:val="24"/>
          <w:lang w:eastAsia="zh-CN"/>
        </w:rPr>
        <w:t>且</w:t>
      </w:r>
      <w:r>
        <w:rPr>
          <w:rFonts w:hint="eastAsia" w:ascii="宋体" w:hAnsi="宋体"/>
          <w:color w:val="auto"/>
          <w:sz w:val="24"/>
        </w:rPr>
        <w:t>为辽宁师范大学论文等级认证收录的期刊或其它由学院认定的期刊。学术论文必须为公开发表或收到正式录取通知的论文。原则上要求学术论文必须在我院教师指导下完成，指导教师必须署名。</w:t>
      </w:r>
      <w:r>
        <w:rPr>
          <w:rFonts w:hint="eastAsia" w:ascii="宋体" w:hAnsi="宋体" w:cs="宋体"/>
          <w:color w:val="auto"/>
          <w:kern w:val="0"/>
          <w:sz w:val="24"/>
          <w:lang w:val="en-US" w:eastAsia="zh-CN"/>
        </w:rPr>
        <w:t>期刊同时属于下述不同类别时，赋分就高不就低；</w:t>
      </w:r>
      <w:bookmarkStart w:id="0" w:name="_GoBack"/>
      <w:bookmarkEnd w:id="0"/>
      <w:r>
        <w:rPr>
          <w:rFonts w:hint="eastAsia" w:ascii="宋体" w:hAnsi="宋体" w:cs="宋体"/>
          <w:color w:val="auto"/>
          <w:kern w:val="0"/>
          <w:sz w:val="24"/>
          <w:lang w:val="en-US" w:eastAsia="zh-CN"/>
        </w:rPr>
        <w:t>排名赋分</w:t>
      </w:r>
      <w:r>
        <w:rPr>
          <w:rFonts w:hint="eastAsia" w:ascii="宋体" w:hAnsi="宋体"/>
          <w:color w:val="auto"/>
          <w:sz w:val="24"/>
          <w:lang w:eastAsia="zh-CN"/>
        </w:rPr>
        <w:t>按</w:t>
      </w:r>
      <w:r>
        <w:rPr>
          <w:rFonts w:hint="eastAsia" w:ascii="宋体" w:hAnsi="宋体" w:cs="宋体"/>
          <w:color w:val="auto"/>
          <w:kern w:val="0"/>
          <w:sz w:val="24"/>
          <w:lang w:eastAsia="zh-CN"/>
        </w:rPr>
        <w:t>第（五）条第</w:t>
      </w:r>
      <w:r>
        <w:rPr>
          <w:rFonts w:hint="eastAsia" w:ascii="宋体" w:hAnsi="宋体" w:cs="宋体"/>
          <w:color w:val="auto"/>
          <w:kern w:val="0"/>
          <w:sz w:val="24"/>
          <w:lang w:val="en-US" w:eastAsia="zh-CN"/>
        </w:rPr>
        <w:t>1款</w:t>
      </w:r>
      <w:r>
        <w:rPr>
          <w:rFonts w:hint="eastAsia" w:ascii="宋体" w:hAnsi="宋体"/>
          <w:color w:val="auto"/>
          <w:sz w:val="24"/>
          <w:lang w:eastAsia="zh-CN"/>
        </w:rPr>
        <w:t>计算</w:t>
      </w:r>
      <w:r>
        <w:rPr>
          <w:rFonts w:hint="eastAsia" w:ascii="宋体" w:hAnsi="宋体"/>
          <w:color w:val="auto"/>
          <w:sz w:val="24"/>
        </w:rPr>
        <w:t>，署名的我院教师</w:t>
      </w:r>
      <w:r>
        <w:rPr>
          <w:rFonts w:hint="eastAsia" w:ascii="宋体" w:hAnsi="宋体"/>
          <w:color w:val="auto"/>
          <w:sz w:val="24"/>
          <w:lang w:eastAsia="zh-CN"/>
        </w:rPr>
        <w:t>中排在最前的教师</w:t>
      </w:r>
      <w:r>
        <w:rPr>
          <w:rFonts w:hint="eastAsia" w:ascii="宋体" w:hAnsi="宋体"/>
          <w:color w:val="auto"/>
          <w:sz w:val="24"/>
        </w:rPr>
        <w:t>不参与分值分配。</w:t>
      </w:r>
    </w:p>
    <w:p>
      <w:pPr>
        <w:numPr>
          <w:ilvl w:val="0"/>
          <w:numId w:val="0"/>
        </w:numPr>
        <w:autoSpaceDE w:val="0"/>
        <w:autoSpaceDN w:val="0"/>
        <w:adjustRightInd w:val="0"/>
        <w:spacing w:line="360" w:lineRule="auto"/>
        <w:ind w:firstLine="480" w:firstLineChars="200"/>
        <w:jc w:val="left"/>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学术论文的赋分按如下规定执行：</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（1）学校科研处规定的C类及以上的期刊： </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B类及以上期刊： 200分/篇 </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C类期刊： 150分/篇</w:t>
      </w:r>
    </w:p>
    <w:p>
      <w:pPr>
        <w:spacing w:line="360" w:lineRule="auto"/>
        <w:ind w:firstLine="480" w:firstLineChars="20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（2）核心期刊 ：100分/篇。包括北京大学图书馆“中文核心期刊”、南京大学“中文社会科学引文索引（CSSCI）来源期刊、《科学引文数据库》（SCD）所列期刊。期刊的数据库收录情况以当前执行的科研处文件为准。</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（3）其它期刊：</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3-I类：50分/篇（限制每人不超过2篇）</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刊物如下： （未列刊物是否属于此类，由学院研究生推免小组认定）</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光电技术应用、中学课程资源、</w:t>
      </w:r>
      <w:r>
        <w:rPr>
          <w:rFonts w:hint="default" w:ascii="宋体" w:hAnsi="宋体" w:cs="宋体"/>
          <w:color w:val="auto"/>
          <w:kern w:val="0"/>
          <w:sz w:val="24"/>
          <w:lang w:val="en-US" w:eastAsia="zh-CN"/>
        </w:rPr>
        <w:t>物理通报、中学物理、中学物理教学参考、物理教学探讨</w:t>
      </w:r>
      <w:r>
        <w:rPr>
          <w:rFonts w:hint="eastAsia" w:ascii="宋体" w:hAnsi="宋体" w:cs="宋体"/>
          <w:color w:val="auto"/>
          <w:kern w:val="0"/>
          <w:sz w:val="24"/>
          <w:lang w:val="en-US" w:eastAsia="zh-CN"/>
        </w:rPr>
        <w:t xml:space="preserve">、教学与管理等。 </w:t>
      </w:r>
    </w:p>
    <w:p>
      <w:pPr>
        <w:numPr>
          <w:ilvl w:val="0"/>
          <w:numId w:val="1"/>
        </w:num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II类：5分/篇（要求论文的正文字数在2000字以上，限制每人最多1篇）：如教学管理与教育研究、考试周刊、会议论文（ISSN）等。</w:t>
      </w:r>
    </w:p>
    <w:p>
      <w:pPr>
        <w:numPr>
          <w:ilvl w:val="0"/>
          <w:numId w:val="0"/>
        </w:numPr>
        <w:spacing w:line="360" w:lineRule="auto"/>
        <w:rPr>
          <w:rFonts w:hint="default" w:ascii="宋体" w:hAnsi="宋体" w:cs="宋体"/>
          <w:color w:val="auto"/>
          <w:kern w:val="0"/>
          <w:sz w:val="24"/>
          <w:lang w:val="en-US" w:eastAsia="zh-CN"/>
        </w:rPr>
      </w:pPr>
    </w:p>
    <w:p>
      <w:pPr>
        <w:spacing w:line="360" w:lineRule="auto"/>
        <w:ind w:firstLine="480" w:firstLineChars="200"/>
        <w:rPr>
          <w:rFonts w:hint="eastAsia" w:ascii="宋体" w:hAnsi="宋体"/>
          <w:color w:val="auto"/>
          <w:sz w:val="24"/>
        </w:rPr>
      </w:pPr>
      <w:r>
        <w:rPr>
          <w:rFonts w:hint="eastAsia" w:ascii="宋体" w:hAnsi="宋体" w:cs="宋体"/>
          <w:color w:val="auto"/>
          <w:kern w:val="0"/>
          <w:sz w:val="24"/>
          <w:lang w:val="en-US" w:eastAsia="zh-CN"/>
        </w:rPr>
        <w:t>4、</w:t>
      </w:r>
      <w:r>
        <w:rPr>
          <w:rFonts w:hint="eastAsia" w:ascii="宋体" w:hAnsi="宋体" w:cs="宋体"/>
          <w:color w:val="auto"/>
          <w:kern w:val="0"/>
          <w:sz w:val="24"/>
        </w:rPr>
        <w:t>授权专利</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176"/>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级别</w:t>
            </w:r>
          </w:p>
        </w:tc>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发明专利</w:t>
            </w:r>
          </w:p>
        </w:tc>
        <w:tc>
          <w:tcPr>
            <w:tcW w:w="1656" w:type="dxa"/>
            <w:noWrap w:val="0"/>
            <w:vAlign w:val="top"/>
          </w:tcPr>
          <w:p>
            <w:pPr>
              <w:spacing w:line="360" w:lineRule="auto"/>
              <w:rPr>
                <w:rFonts w:hint="eastAsia" w:ascii="宋体" w:hAnsi="宋体"/>
                <w:color w:val="auto"/>
                <w:sz w:val="24"/>
              </w:rPr>
            </w:pPr>
            <w:r>
              <w:rPr>
                <w:rFonts w:hint="eastAsia" w:ascii="宋体" w:hAnsi="宋体"/>
                <w:color w:val="auto"/>
                <w:sz w:val="24"/>
              </w:rPr>
              <w:t>实用新型专利</w:t>
            </w:r>
          </w:p>
        </w:tc>
        <w:tc>
          <w:tcPr>
            <w:tcW w:w="1656" w:type="dxa"/>
            <w:noWrap w:val="0"/>
            <w:vAlign w:val="top"/>
          </w:tcPr>
          <w:p>
            <w:pPr>
              <w:spacing w:line="360" w:lineRule="auto"/>
              <w:rPr>
                <w:rFonts w:hint="eastAsia" w:ascii="宋体" w:hAnsi="宋体"/>
                <w:color w:val="auto"/>
                <w:sz w:val="24"/>
              </w:rPr>
            </w:pPr>
            <w:r>
              <w:rPr>
                <w:rFonts w:hint="eastAsia" w:ascii="宋体" w:hAnsi="宋体"/>
                <w:color w:val="auto"/>
                <w:sz w:val="24"/>
              </w:rPr>
              <w:t>外观设计专利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成功申请</w:t>
            </w:r>
          </w:p>
        </w:tc>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60</w:t>
            </w:r>
          </w:p>
        </w:tc>
        <w:tc>
          <w:tcPr>
            <w:tcW w:w="1656" w:type="dxa"/>
            <w:noWrap w:val="0"/>
            <w:vAlign w:val="top"/>
          </w:tcPr>
          <w:p>
            <w:pPr>
              <w:spacing w:line="360" w:lineRule="auto"/>
              <w:rPr>
                <w:rFonts w:hint="eastAsia" w:ascii="宋体" w:hAnsi="宋体"/>
                <w:color w:val="auto"/>
                <w:sz w:val="24"/>
              </w:rPr>
            </w:pPr>
            <w:r>
              <w:rPr>
                <w:rFonts w:hint="eastAsia" w:ascii="宋体" w:hAnsi="宋体"/>
                <w:color w:val="auto"/>
                <w:sz w:val="24"/>
              </w:rPr>
              <w:t>40</w:t>
            </w:r>
          </w:p>
        </w:tc>
        <w:tc>
          <w:tcPr>
            <w:tcW w:w="1656" w:type="dxa"/>
            <w:noWrap w:val="0"/>
            <w:vAlign w:val="top"/>
          </w:tcPr>
          <w:p>
            <w:pPr>
              <w:spacing w:line="360" w:lineRule="auto"/>
              <w:rPr>
                <w:rFonts w:hint="eastAsia" w:ascii="宋体" w:hAnsi="宋体"/>
                <w:color w:val="auto"/>
                <w:sz w:val="24"/>
              </w:rPr>
            </w:pPr>
            <w:r>
              <w:rPr>
                <w:rFonts w:hint="eastAsia" w:ascii="宋体" w:hAnsi="宋体"/>
                <w:color w:val="auto"/>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获得授权</w:t>
            </w:r>
          </w:p>
        </w:tc>
        <w:tc>
          <w:tcPr>
            <w:tcW w:w="1176" w:type="dxa"/>
            <w:noWrap w:val="0"/>
            <w:vAlign w:val="top"/>
          </w:tcPr>
          <w:p>
            <w:pPr>
              <w:spacing w:line="360" w:lineRule="auto"/>
              <w:rPr>
                <w:rFonts w:hint="eastAsia" w:ascii="宋体" w:hAnsi="宋体"/>
                <w:color w:val="auto"/>
                <w:sz w:val="24"/>
              </w:rPr>
            </w:pPr>
            <w:r>
              <w:rPr>
                <w:rFonts w:hint="eastAsia" w:ascii="宋体" w:hAnsi="宋体"/>
                <w:color w:val="auto"/>
                <w:sz w:val="24"/>
              </w:rPr>
              <w:t>100</w:t>
            </w:r>
          </w:p>
        </w:tc>
        <w:tc>
          <w:tcPr>
            <w:tcW w:w="1656" w:type="dxa"/>
            <w:noWrap w:val="0"/>
            <w:vAlign w:val="top"/>
          </w:tcPr>
          <w:p>
            <w:pPr>
              <w:spacing w:line="360" w:lineRule="auto"/>
              <w:rPr>
                <w:rFonts w:hint="eastAsia" w:ascii="宋体" w:hAnsi="宋体"/>
                <w:color w:val="auto"/>
                <w:sz w:val="24"/>
              </w:rPr>
            </w:pPr>
            <w:r>
              <w:rPr>
                <w:rFonts w:hint="eastAsia" w:ascii="宋体" w:hAnsi="宋体"/>
                <w:color w:val="auto"/>
                <w:sz w:val="24"/>
              </w:rPr>
              <w:t>80</w:t>
            </w:r>
          </w:p>
        </w:tc>
        <w:tc>
          <w:tcPr>
            <w:tcW w:w="1656" w:type="dxa"/>
            <w:noWrap w:val="0"/>
            <w:vAlign w:val="top"/>
          </w:tcPr>
          <w:p>
            <w:pPr>
              <w:spacing w:line="360" w:lineRule="auto"/>
              <w:rPr>
                <w:rFonts w:hint="eastAsia" w:ascii="宋体" w:hAnsi="宋体"/>
                <w:color w:val="auto"/>
                <w:sz w:val="24"/>
              </w:rPr>
            </w:pPr>
            <w:r>
              <w:rPr>
                <w:rFonts w:hint="eastAsia" w:ascii="宋体" w:hAnsi="宋体"/>
                <w:color w:val="auto"/>
                <w:sz w:val="24"/>
              </w:rPr>
              <w:t>60</w:t>
            </w:r>
          </w:p>
        </w:tc>
      </w:tr>
    </w:tbl>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学科竞赛</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936"/>
        <w:gridCol w:w="696"/>
        <w:gridCol w:w="696"/>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级别</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国家级</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省级</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市级</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校级</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特等奖</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100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70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50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20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一等奖</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100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70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50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20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二等奖</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90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60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40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10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三等奖</w:t>
            </w:r>
          </w:p>
        </w:tc>
        <w:tc>
          <w:tcPr>
            <w:tcW w:w="936" w:type="dxa"/>
            <w:noWrap w:val="0"/>
            <w:vAlign w:val="top"/>
          </w:tcPr>
          <w:p>
            <w:pPr>
              <w:spacing w:line="360" w:lineRule="auto"/>
              <w:rPr>
                <w:rFonts w:hint="eastAsia" w:ascii="宋体" w:hAnsi="宋体"/>
                <w:color w:val="auto"/>
                <w:sz w:val="24"/>
              </w:rPr>
            </w:pPr>
            <w:r>
              <w:rPr>
                <w:rFonts w:hint="eastAsia" w:ascii="宋体" w:hAnsi="宋体"/>
                <w:color w:val="auto"/>
                <w:sz w:val="24"/>
              </w:rPr>
              <w:t>70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50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30</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5</w:t>
            </w:r>
          </w:p>
        </w:tc>
        <w:tc>
          <w:tcPr>
            <w:tcW w:w="696" w:type="dxa"/>
            <w:noWrap w:val="0"/>
            <w:vAlign w:val="top"/>
          </w:tcPr>
          <w:p>
            <w:pPr>
              <w:spacing w:line="360" w:lineRule="auto"/>
              <w:rPr>
                <w:rFonts w:hint="eastAsia" w:ascii="宋体" w:hAnsi="宋体"/>
                <w:color w:val="auto"/>
                <w:sz w:val="24"/>
              </w:rPr>
            </w:pPr>
            <w:r>
              <w:rPr>
                <w:rFonts w:hint="eastAsia" w:ascii="宋体" w:hAnsi="宋体"/>
                <w:color w:val="auto"/>
                <w:sz w:val="24"/>
              </w:rPr>
              <w:t>0</w:t>
            </w:r>
          </w:p>
        </w:tc>
      </w:tr>
    </w:tbl>
    <w:p>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eastAsia="zh-CN"/>
        </w:rPr>
        <w:t>（八）科研审核程序</w:t>
      </w:r>
    </w:p>
    <w:p>
      <w:pPr>
        <w:spacing w:line="360" w:lineRule="auto"/>
        <w:ind w:firstLine="480" w:firstLineChars="200"/>
        <w:rPr>
          <w:rFonts w:hint="eastAsia" w:ascii="宋体" w:hAnsi="宋体"/>
          <w:color w:val="auto"/>
          <w:sz w:val="24"/>
        </w:rPr>
      </w:pPr>
      <w:r>
        <w:rPr>
          <w:rFonts w:hint="eastAsia" w:ascii="宋体" w:hAnsi="宋体"/>
          <w:color w:val="auto"/>
          <w:sz w:val="24"/>
        </w:rPr>
        <w:t>学院对推免生学术专长进行审核，成立学院专家审核小组。</w:t>
      </w:r>
    </w:p>
    <w:p>
      <w:pPr>
        <w:spacing w:line="360" w:lineRule="auto"/>
        <w:ind w:firstLine="480" w:firstLineChars="200"/>
        <w:rPr>
          <w:rFonts w:hint="eastAsia" w:ascii="宋体" w:hAnsi="宋体"/>
          <w:color w:val="auto"/>
          <w:sz w:val="24"/>
        </w:rPr>
      </w:pPr>
      <w:r>
        <w:rPr>
          <w:rFonts w:hint="eastAsia" w:ascii="宋体" w:hAnsi="宋体"/>
          <w:color w:val="auto"/>
          <w:sz w:val="24"/>
        </w:rPr>
        <w:t>1、审核小组对申请推免资格学生的科研创新成果进行审核鉴定，排除抄袭、造假、冒名及有名无实等情况。</w:t>
      </w:r>
    </w:p>
    <w:p>
      <w:pPr>
        <w:spacing w:line="360" w:lineRule="auto"/>
        <w:ind w:firstLine="480" w:firstLineChars="200"/>
        <w:rPr>
          <w:rFonts w:hint="eastAsia" w:ascii="宋体" w:hAnsi="宋体"/>
          <w:color w:val="auto"/>
          <w:sz w:val="24"/>
        </w:rPr>
      </w:pPr>
      <w:r>
        <w:rPr>
          <w:rFonts w:hint="eastAsia" w:ascii="宋体" w:hAnsi="宋体"/>
          <w:color w:val="auto"/>
          <w:sz w:val="24"/>
        </w:rPr>
        <w:t>2、审核小组统一组织本学院相关学生进行公开答辩，专家审核小组及每位成员都要给出明确审核鉴定意见并签字。答辩全程要录音录像，答辩结果要公开公示，未通过审核鉴定或答辩的学生不予推荐。</w:t>
      </w:r>
    </w:p>
    <w:p>
      <w:pPr>
        <w:spacing w:line="360" w:lineRule="auto"/>
        <w:ind w:firstLine="480" w:firstLineChars="200"/>
        <w:rPr>
          <w:rFonts w:hint="eastAsia" w:ascii="宋体" w:hAnsi="宋体"/>
          <w:color w:val="auto"/>
          <w:sz w:val="24"/>
        </w:rPr>
      </w:pPr>
    </w:p>
    <w:p>
      <w:pPr>
        <w:spacing w:line="360" w:lineRule="auto"/>
        <w:rPr>
          <w:rFonts w:hint="eastAsia" w:ascii="宋体"/>
          <w:b/>
          <w:color w:val="auto"/>
          <w:sz w:val="28"/>
          <w:szCs w:val="28"/>
          <w:lang w:eastAsia="zh-CN"/>
        </w:rPr>
      </w:pPr>
      <w:r>
        <w:rPr>
          <w:rFonts w:hint="eastAsia" w:ascii="宋体"/>
          <w:b/>
          <w:color w:val="auto"/>
          <w:sz w:val="28"/>
          <w:szCs w:val="28"/>
          <w:lang w:eastAsia="zh-CN"/>
        </w:rPr>
        <w:t>四、说明</w:t>
      </w:r>
    </w:p>
    <w:p>
      <w:pPr>
        <w:numPr>
          <w:ilvl w:val="0"/>
          <w:numId w:val="0"/>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规定</w:t>
      </w:r>
      <w:r>
        <w:rPr>
          <w:rFonts w:hint="eastAsia" w:ascii="宋体" w:hAnsi="宋体" w:cs="宋体"/>
          <w:color w:val="auto"/>
          <w:kern w:val="0"/>
          <w:sz w:val="24"/>
          <w:lang w:eastAsia="zh-CN"/>
        </w:rPr>
        <w:t>中</w:t>
      </w:r>
      <w:r>
        <w:rPr>
          <w:rFonts w:hint="eastAsia" w:ascii="宋体" w:hAnsi="宋体" w:cs="宋体"/>
          <w:color w:val="auto"/>
          <w:kern w:val="0"/>
          <w:sz w:val="24"/>
        </w:rPr>
        <w:t>未尽事宜由学院推免生遴选工作小组根据学校文件精神研究决定。</w:t>
      </w: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ind w:left="4791" w:leftChars="1710" w:hanging="1200" w:hangingChars="500"/>
        <w:rPr>
          <w:rFonts w:hint="eastAsia" w:ascii="仿宋" w:hAnsi="仿宋" w:cs="仿宋"/>
          <w:color w:val="auto"/>
          <w:kern w:val="0"/>
          <w:sz w:val="28"/>
          <w:szCs w:val="28"/>
        </w:rPr>
      </w:pPr>
      <w:r>
        <w:rPr>
          <w:rFonts w:hint="eastAsia" w:ascii="宋体" w:hAnsi="宋体"/>
          <w:color w:val="auto"/>
          <w:sz w:val="24"/>
          <w:lang w:val="en-US" w:eastAsia="zh-CN"/>
        </w:rPr>
        <w:t xml:space="preserve">                                                    </w:t>
      </w:r>
      <w:r>
        <w:rPr>
          <w:rFonts w:hint="eastAsia" w:ascii="仿宋" w:hAnsi="仿宋" w:cs="仿宋"/>
          <w:color w:val="auto"/>
          <w:kern w:val="0"/>
          <w:sz w:val="28"/>
          <w:szCs w:val="28"/>
        </w:rPr>
        <w:t>物理与电子技术学院</w:t>
      </w:r>
    </w:p>
    <w:p>
      <w:pPr>
        <w:ind w:firstLine="5040" w:firstLineChars="1800"/>
        <w:rPr>
          <w:rFonts w:hint="default" w:ascii="仿宋" w:hAnsi="仿宋" w:eastAsia="宋体" w:cs="仿宋"/>
          <w:color w:val="auto"/>
          <w:kern w:val="0"/>
          <w:sz w:val="28"/>
          <w:szCs w:val="28"/>
          <w:lang w:val="en-US" w:eastAsia="zh-CN"/>
        </w:rPr>
      </w:pPr>
      <w:r>
        <w:rPr>
          <w:rFonts w:hint="eastAsia" w:ascii="仿宋" w:hAnsi="仿宋" w:cs="仿宋"/>
          <w:color w:val="auto"/>
          <w:kern w:val="0"/>
          <w:sz w:val="28"/>
          <w:szCs w:val="28"/>
        </w:rPr>
        <w:t>20</w:t>
      </w:r>
      <w:r>
        <w:rPr>
          <w:rFonts w:hint="eastAsia" w:ascii="仿宋" w:hAnsi="仿宋" w:cs="仿宋"/>
          <w:color w:val="auto"/>
          <w:kern w:val="0"/>
          <w:sz w:val="28"/>
          <w:szCs w:val="28"/>
          <w:lang w:val="en-US" w:eastAsia="zh-CN"/>
        </w:rPr>
        <w:t>23</w:t>
      </w:r>
      <w:r>
        <w:rPr>
          <w:rFonts w:hint="eastAsia" w:ascii="仿宋" w:hAnsi="仿宋" w:cs="仿宋"/>
          <w:color w:val="auto"/>
          <w:kern w:val="0"/>
          <w:sz w:val="28"/>
          <w:szCs w:val="28"/>
        </w:rPr>
        <w:t>年</w:t>
      </w:r>
      <w:r>
        <w:rPr>
          <w:rFonts w:hint="eastAsia" w:ascii="仿宋" w:hAnsi="仿宋" w:cs="仿宋"/>
          <w:color w:val="auto"/>
          <w:kern w:val="0"/>
          <w:sz w:val="28"/>
          <w:szCs w:val="28"/>
          <w:lang w:val="en-US" w:eastAsia="zh-CN"/>
        </w:rPr>
        <w:t>8</w:t>
      </w:r>
      <w:r>
        <w:rPr>
          <w:rFonts w:hint="eastAsia" w:ascii="仿宋" w:hAnsi="仿宋" w:cs="仿宋"/>
          <w:color w:val="auto"/>
          <w:kern w:val="0"/>
          <w:sz w:val="28"/>
          <w:szCs w:val="28"/>
        </w:rPr>
        <w:t>月</w:t>
      </w:r>
      <w:r>
        <w:rPr>
          <w:rFonts w:hint="eastAsia" w:ascii="仿宋" w:hAnsi="仿宋" w:cs="仿宋"/>
          <w:color w:val="auto"/>
          <w:kern w:val="0"/>
          <w:sz w:val="28"/>
          <w:szCs w:val="28"/>
          <w:lang w:val="en-US" w:eastAsia="zh-CN"/>
        </w:rPr>
        <w:t>21日</w:t>
      </w:r>
    </w:p>
    <w:p>
      <w:pPr>
        <w:rPr>
          <w:rFonts w:hint="default" w:ascii="仿宋" w:hAnsi="仿宋" w:cs="仿宋"/>
          <w:color w:val="auto"/>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B9198"/>
    <w:multiLevelType w:val="singleLevel"/>
    <w:tmpl w:val="5F9B919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ZjE0YzY4ODQ0NTlhNWViODQ5MDk3NTVhODNmMzEifQ=="/>
  </w:docVars>
  <w:rsids>
    <w:rsidRoot w:val="00000000"/>
    <w:rsid w:val="04363AE8"/>
    <w:rsid w:val="05A607FA"/>
    <w:rsid w:val="0ADC123D"/>
    <w:rsid w:val="0E6A2D0C"/>
    <w:rsid w:val="173F2876"/>
    <w:rsid w:val="18167A61"/>
    <w:rsid w:val="18217186"/>
    <w:rsid w:val="198464A8"/>
    <w:rsid w:val="1FC250D1"/>
    <w:rsid w:val="23847F75"/>
    <w:rsid w:val="257402E1"/>
    <w:rsid w:val="2884446D"/>
    <w:rsid w:val="28A62668"/>
    <w:rsid w:val="36B67FED"/>
    <w:rsid w:val="383F074E"/>
    <w:rsid w:val="3D791099"/>
    <w:rsid w:val="3F007E4C"/>
    <w:rsid w:val="40A54C27"/>
    <w:rsid w:val="43F6411F"/>
    <w:rsid w:val="45E953AB"/>
    <w:rsid w:val="465C721B"/>
    <w:rsid w:val="48580F04"/>
    <w:rsid w:val="527B6692"/>
    <w:rsid w:val="52901FA5"/>
    <w:rsid w:val="5A7B0A82"/>
    <w:rsid w:val="5F8328B3"/>
    <w:rsid w:val="61E9549D"/>
    <w:rsid w:val="65902389"/>
    <w:rsid w:val="6A60348C"/>
    <w:rsid w:val="6BC4672D"/>
    <w:rsid w:val="6E69536A"/>
    <w:rsid w:val="6F786AC5"/>
    <w:rsid w:val="77DA4BE2"/>
    <w:rsid w:val="7E292784"/>
    <w:rsid w:val="7F5D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1921</Words>
  <Characters>2007</Characters>
  <Lines>0</Lines>
  <Paragraphs>0</Paragraphs>
  <TotalTime>0</TotalTime>
  <ScaleCrop>false</ScaleCrop>
  <LinksUpToDate>false</LinksUpToDate>
  <CharactersWithSpaces>2083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2020-09-19T00:24:00Z</dcterms:created>
  <dc:creator>wuli</dc:creator>
  <cp:lastModifiedBy>陈建兴</cp:lastModifiedBy>
  <dcterms:modified xsi:type="dcterms:W3CDTF">2023-08-29T09:38:06Z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34C186DE555C40D38FCD23534DB0E8BE</vt:lpwstr>
  </property>
</Properties>
</file>